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612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3A5F" w:color="auto" w:val="clear"/>
            <w:tcMar>
              <w:top w:type="dxa" w:w="160"/>
              <w:left w:type="dxa" w:w="160"/>
              <w:bottom w:type="dxa" w:w="160"/>
              <w:right w:type="dxa" w:w="60"/>
            </w:tcMar>
          </w:tcPr>
          <w:p>
            <w:pPr>
              <w:spacing w:after="0"/>
            </w:pPr>
            <w:r>
              <w:drawing>
                <wp:inline distT="0" distB="0" distL="0" distR="0">
                  <wp:extent cx="323850" cy="323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3A5F" w:color="auto" w:val="clear"/>
            <w:tcMar>
              <w:top w:type="dxa" w:w="160"/>
              <w:left w:type="dxa" w:w="60"/>
              <w:bottom w:type="dxa" w:w="160"/>
              <w:right w:type="dxa" w:w="160"/>
            </w:tcMar>
          </w:tcPr>
          <w:p>
            <w:pPr>
              <w:spacing w:after="4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FEFEFE"/>
                <w:sz w:val="28"/>
                <w:szCs w:val="28"/>
              </w:rPr>
              <w:t xml:space="preserve">Go-Live Readiness Criteria</w:t>
            </w:r>
          </w:p>
          <w:p>
            <w:pPr>
              <w:spacing w:after="0"/>
            </w:pPr>
            <w:r>
              <w:rPr>
                <w:rFonts w:ascii="Poppins" w:cs="Poppins" w:eastAsia="Poppins" w:hAnsi="Poppins"/>
                <w:b w:val="false"/>
                <w:bCs w:val="false"/>
                <w:i w:val="false"/>
                <w:iCs w:val="false"/>
                <w:color w:val="B9C7D6"/>
                <w:sz w:val="18"/>
                <w:szCs w:val="18"/>
              </w:rPr>
              <w:t xml:space="preserve">Health-Chex, LLC  ·  Consulting &amp; Training</w:t>
            </w:r>
          </w:p>
        </w:tc>
      </w:tr>
    </w:tbl>
    <w:p>
      <w:pPr>
        <w:pBdr>
          <w:bottom w:val="single" w:color="D4A853" w:sz="18"/>
        </w:pBdr>
        <w:spacing w:after="200" w:before="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3A3A3A"/>
          <w:sz w:val="20"/>
          <w:szCs w:val="20"/>
        </w:rPr>
        <w:t xml:space="preserve"/>
      </w:r>
    </w:p>
    <w:p>
      <w:pPr>
        <w:spacing w:after="120"/>
      </w:pPr>
      <w:r>
        <w:rPr>
          <w:rFonts w:ascii="Poppins" w:cs="Poppins" w:eastAsia="Poppins" w:hAnsi="Poppins"/>
          <w:b/>
          <w:bCs/>
          <w:i w:val="false"/>
          <w:iCs w:val="false"/>
          <w:color w:val="1B3A5F"/>
          <w:sz w:val="36"/>
          <w:szCs w:val="36"/>
        </w:rPr>
        <w:t xml:space="preserve">Decide with evidence, not with optimism</w:t>
      </w:r>
    </w:p>
    <w:p>
      <w:pPr>
        <w:spacing w:after="60" w:before="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3A3A3A"/>
          <w:sz w:val="20"/>
          <w:szCs w:val="20"/>
        </w:rPr>
        <w:t xml:space="preserve">Most go/no-go meetings fail the same way: the criteria were never written down, so the conversation becomes a contest of confidence between the people who want to go and the people who are nervous. This worksheet forces the criteria into the open </w:t>
      </w:r>
      <w:r>
        <w:rPr>
          <w:rFonts w:ascii="Georgia" w:cs="Georgia" w:eastAsia="Georgia" w:hAnsi="Georgia"/>
          <w:b/>
          <w:bCs/>
          <w:i w:val="false"/>
          <w:iCs w:val="false"/>
          <w:color w:val="1B3A5F"/>
          <w:sz w:val="20"/>
          <w:szCs w:val="20"/>
        </w:rPr>
        <w:t xml:space="preserve">before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3A3A3A"/>
          <w:sz w:val="20"/>
          <w:szCs w:val="20"/>
        </w:rPr>
        <w:t xml:space="preserve"> the meeting, keeps the </w:t>
      </w:r>
      <w:r>
        <w:rPr>
          <w:rFonts w:ascii="Georgia" w:cs="Georgia" w:eastAsia="Georgia" w:hAnsi="Georgia"/>
          <w:b/>
          <w:bCs/>
          <w:i w:val="false"/>
          <w:iCs w:val="false"/>
          <w:color w:val="1B3A5F"/>
          <w:sz w:val="20"/>
          <w:szCs w:val="20"/>
        </w:rPr>
        <w:t xml:space="preserve">go/no-go decision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3A3A3A"/>
          <w:sz w:val="20"/>
          <w:szCs w:val="20"/>
        </w:rPr>
        <w:t xml:space="preserve"> separate from the </w:t>
      </w:r>
      <w:r>
        <w:rPr>
          <w:rFonts w:ascii="Georgia" w:cs="Georgia" w:eastAsia="Georgia" w:hAnsi="Georgia"/>
          <w:b/>
          <w:bCs/>
          <w:i w:val="false"/>
          <w:iCs w:val="false"/>
          <w:color w:val="1B3A5F"/>
          <w:sz w:val="20"/>
          <w:szCs w:val="20"/>
        </w:rPr>
        <w:t xml:space="preserve">fix list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3A3A3A"/>
          <w:sz w:val="20"/>
          <w:szCs w:val="20"/>
        </w:rPr>
        <w:t xml:space="preserve">, and makes every claim something a person could check and record as failed. Complete the header once, then one row per function.</w:t>
      </w:r>
    </w:p>
    <w:p>
      <w:pPr>
        <w:spacing w:after="120" w:before="280"/>
      </w:pPr>
      <w:r>
        <w:rPr>
          <w:rFonts w:ascii="Poppins" w:cs="Poppins" w:eastAsia="Poppins" w:hAnsi="Poppins"/>
          <w:b/>
          <w:bCs/>
          <w:i w:val="false"/>
          <w:iCs w:val="false"/>
          <w:color w:val="6B5A4E"/>
          <w:sz w:val="15"/>
          <w:szCs w:val="15"/>
        </w:rPr>
        <w:t xml:space="preserve">DECISION — COMPLETE ONCE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74"/>
        <w:gridCol w:w="2313"/>
        <w:gridCol w:w="4625"/>
      </w:tblGrid>
      <w:tr>
        <w:tc>
          <w:tcPr>
            <w:tcW w:type="dxa" w:w="3574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6B7178"/>
                <w:sz w:val="15"/>
                <w:szCs w:val="15"/>
              </w:rPr>
              <w:t xml:space="preserve">Organization / project</w:t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2313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6B7178"/>
                <w:sz w:val="15"/>
                <w:szCs w:val="15"/>
              </w:rPr>
              <w:t xml:space="preserve">Planned go-live date</w:t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4625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6B7178"/>
                <w:sz w:val="15"/>
                <w:szCs w:val="15"/>
              </w:rPr>
              <w:t xml:space="preserve">Go / no-go meeting</w:t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/>
                <w:iCs/>
                <w:color w:val="9A948C"/>
                <w:sz w:val="16"/>
                <w:szCs w:val="16"/>
              </w:rPr>
              <w:t xml:space="preserve">Far enough ahead that "no" is still affordable — usually 5 to 7 days out.</w:t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574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6B7178"/>
                <w:sz w:val="15"/>
                <w:szCs w:val="15"/>
              </w:rPr>
              <w:t xml:space="preserve">Who makes the call</w:t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/>
                <w:iCs/>
                <w:color w:val="9A948C"/>
                <w:sz w:val="16"/>
                <w:szCs w:val="16"/>
              </w:rPr>
              <w:t xml:space="preserve">One named person, not a committee</w:t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2313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6B7178"/>
                <w:sz w:val="15"/>
                <w:szCs w:val="15"/>
              </w:rPr>
              <w:t xml:space="preserve">Who must be in the room</w:t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4625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6B7178"/>
                <w:sz w:val="15"/>
                <w:szCs w:val="15"/>
              </w:rPr>
              <w:t xml:space="preserve">What "no-go" means in practice</w:t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/>
                <w:iCs/>
                <w:color w:val="9A948C"/>
                <w:sz w:val="16"/>
                <w:szCs w:val="16"/>
              </w:rPr>
              <w:t xml:space="preserve">Delay to what date — and what happens to the people already scheduled</w:t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574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6B7178"/>
                <w:sz w:val="15"/>
                <w:szCs w:val="15"/>
              </w:rPr>
              <w:t xml:space="preserve">Last date a delay can be called</w:t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/>
                <w:iCs/>
                <w:color w:val="9A948C"/>
                <w:sz w:val="16"/>
                <w:szCs w:val="16"/>
              </w:rPr>
              <w:t xml:space="preserve">After this, stopping costs more than going</w:t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2313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6B7178"/>
                <w:sz w:val="15"/>
                <w:szCs w:val="15"/>
              </w:rPr>
              <w:t xml:space="preserve">Who tells the staff</w:t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4625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6B7178"/>
                <w:sz w:val="15"/>
                <w:szCs w:val="15"/>
              </w:rPr>
              <w:t xml:space="preserve">Rollback plan tested?</w:t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/>
                <w:iCs/>
                <w:color w:val="9A948C"/>
                <w:sz w:val="16"/>
                <w:szCs w:val="16"/>
              </w:rPr>
              <w:t xml:space="preserve">Y / N — who tested it, when</w:t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  <w:r>
        <w:rPr>
          <w:rFonts w:ascii="Poppins" w:cs="Poppins" w:eastAsia="Poppins" w:hAnsi="Poppins"/>
          <w:b/>
          <w:bCs/>
          <w:i w:val="false"/>
          <w:iCs w:val="false"/>
          <w:color w:val="6B5A4E"/>
          <w:sz w:val="15"/>
          <w:szCs w:val="15"/>
        </w:rPr>
        <w:t xml:space="preserve">CRITERIA — ONE ROW PER FUNCTION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77"/>
        <w:gridCol w:w="3154"/>
        <w:gridCol w:w="2313"/>
        <w:gridCol w:w="1261"/>
        <w:gridCol w:w="2207"/>
      </w:tblGrid>
      <w:tr>
        <w:trPr>
          <w:tblHeader/>
        </w:trPr>
        <w:tc>
          <w:tcPr>
            <w:tcW w:type="dxa" w:w="1577"/>
            <w:tcBorders>
              <w:top w:val="single" w:color="1B3A5F" w:sz="4"/>
              <w:left w:val="single" w:color="1B3A5F" w:sz="4"/>
              <w:bottom w:val="single" w:color="1B3A5F" w:sz="4"/>
              <w:right w:val="single" w:color="1B3A5F" w:sz="4"/>
            </w:tcBorders>
            <w:shd w:fill="1B3A5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FEFEFE"/>
                <w:sz w:val="15"/>
                <w:szCs w:val="15"/>
              </w:rPr>
              <w:t xml:space="preserve">Function or area</w:t>
            </w:r>
          </w:p>
        </w:tc>
        <w:tc>
          <w:tcPr>
            <w:tcW w:type="dxa" w:w="3154"/>
            <w:tcBorders>
              <w:top w:val="single" w:color="1B3A5F" w:sz="4"/>
              <w:left w:val="single" w:color="1B3A5F" w:sz="4"/>
              <w:bottom w:val="single" w:color="1B3A5F" w:sz="4"/>
              <w:right w:val="single" w:color="1B3A5F" w:sz="4"/>
            </w:tcBorders>
            <w:shd w:fill="1B3A5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FEFEFE"/>
                <w:sz w:val="15"/>
                <w:szCs w:val="15"/>
              </w:rPr>
              <w:t xml:space="preserve">Claim that must be true</w:t>
            </w:r>
          </w:p>
        </w:tc>
        <w:tc>
          <w:tcPr>
            <w:tcW w:type="dxa" w:w="2313"/>
            <w:tcBorders>
              <w:top w:val="single" w:color="1B3A5F" w:sz="4"/>
              <w:left w:val="single" w:color="1B3A5F" w:sz="4"/>
              <w:bottom w:val="single" w:color="1B3A5F" w:sz="4"/>
              <w:right w:val="single" w:color="1B3A5F" w:sz="4"/>
            </w:tcBorders>
            <w:shd w:fill="1B3A5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FEFEFE"/>
                <w:sz w:val="15"/>
                <w:szCs w:val="15"/>
              </w:rPr>
              <w:t xml:space="preserve">Evidence, and who verifies it</w:t>
            </w:r>
          </w:p>
        </w:tc>
        <w:tc>
          <w:tcPr>
            <w:tcW w:type="dxa" w:w="1261"/>
            <w:tcBorders>
              <w:top w:val="single" w:color="1B3A5F" w:sz="4"/>
              <w:left w:val="single" w:color="1B3A5F" w:sz="4"/>
              <w:bottom w:val="single" w:color="1B3A5F" w:sz="4"/>
              <w:right w:val="single" w:color="1B3A5F" w:sz="4"/>
            </w:tcBorders>
            <w:shd w:fill="1B3A5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FEFEFE"/>
                <w:sz w:val="15"/>
                <w:szCs w:val="15"/>
              </w:rPr>
              <w:t xml:space="preserve">Verified</w:t>
            </w:r>
          </w:p>
        </w:tc>
        <w:tc>
          <w:tcPr>
            <w:tcW w:type="dxa" w:w="2207"/>
            <w:tcBorders>
              <w:top w:val="single" w:color="1B3A5F" w:sz="4"/>
              <w:left w:val="single" w:color="1B3A5F" w:sz="4"/>
              <w:bottom w:val="single" w:color="1B3A5F" w:sz="4"/>
              <w:right w:val="single" w:color="1B3A5F" w:sz="4"/>
            </w:tcBorders>
            <w:shd w:fill="1B3A5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FEFEFE"/>
                <w:sz w:val="15"/>
                <w:szCs w:val="15"/>
              </w:rPr>
              <w:t xml:space="preserve">Weight</w:t>
            </w:r>
          </w:p>
        </w:tc>
      </w:tr>
      <w:tr>
        <w:trPr>
          <w:cantSplit/>
        </w:trPr>
        <w:tc>
          <w:tcPr>
            <w:tcW w:type="dxa" w:w="1577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3154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2313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1261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2207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77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3154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2313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1261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2207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77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3154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2313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1261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2207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77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3154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2313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1261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2207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577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3154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2313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1261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2207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3A3A3A"/>
          <w:sz w:val="20"/>
          <w:szCs w:val="20"/>
        </w:rPr>
        <w:t xml:space="preserve"/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"/>
        <w:gridCol w:w="10452"/>
      </w:tblGrid>
      <w:tr>
        <w:trPr>
          <w:cantSplit/>
        </w:trPr>
        <w:tc>
          <w:tcPr>
            <w:tcW w:type="dxa" w:w="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A4E" w:color="auto" w:val="clear"/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10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EFEA" w:color="auto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6B5A4E"/>
                <w:sz w:val="19"/>
                <w:szCs w:val="19"/>
              </w:rPr>
              <w:t xml:space="preserve">Only three weights, and only one of them stops a go-live. </w:t>
            </w: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19"/>
                <w:szCs w:val="19"/>
              </w:rPr>
              <w:t xml:space="preserve">A Blocker is a claim that, if false, means patients or revenue are harmed on day one — and it stops the go-live on its own, without debate. A Should-fix goes on the fix list with an owner and a date. A Watch you look at in week one. If more than a fifth of your rows are Blockers, they are not all blockers — and the ones that aren't teach everybody that the word means nothing.</w:t>
            </w:r>
          </w:p>
        </w:tc>
      </w:tr>
    </w:tbl>
    <w:p>
      <w:pPr>
        <w:pageBreakBefore/>
        <w:spacing w:after="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3A3A3A"/>
          <w:sz w:val="20"/>
          <w:szCs w:val="20"/>
        </w:rPr>
        <w:t xml:space="preserve"/>
      </w:r>
    </w:p>
    <w:p>
      <w:pPr>
        <w:spacing w:after="120" w:before="280"/>
      </w:pPr>
      <w:r>
        <w:rPr>
          <w:rFonts w:ascii="Poppins" w:cs="Poppins" w:eastAsia="Poppins" w:hAnsi="Poppins"/>
          <w:b/>
          <w:bCs/>
          <w:i w:val="false"/>
          <w:iCs w:val="false"/>
          <w:color w:val="6B5A4E"/>
          <w:sz w:val="15"/>
          <w:szCs w:val="15"/>
        </w:rPr>
        <w:t xml:space="preserve">WORKED EXAMPLE — THREE ROWS FILLED IN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77"/>
        <w:gridCol w:w="3154"/>
        <w:gridCol w:w="2313"/>
        <w:gridCol w:w="1261"/>
        <w:gridCol w:w="2207"/>
      </w:tblGrid>
      <w:tr>
        <w:trPr>
          <w:tblHeader/>
        </w:trPr>
        <w:tc>
          <w:tcPr>
            <w:tcW w:type="dxa" w:w="1577"/>
            <w:tcBorders>
              <w:top w:val="single" w:color="1B3A5F" w:sz="4"/>
              <w:left w:val="single" w:color="1B3A5F" w:sz="4"/>
              <w:bottom w:val="single" w:color="1B3A5F" w:sz="4"/>
              <w:right w:val="single" w:color="1B3A5F" w:sz="4"/>
            </w:tcBorders>
            <w:shd w:fill="1B3A5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FEFEFE"/>
                <w:sz w:val="15"/>
                <w:szCs w:val="15"/>
              </w:rPr>
              <w:t xml:space="preserve">Function or area</w:t>
            </w:r>
          </w:p>
        </w:tc>
        <w:tc>
          <w:tcPr>
            <w:tcW w:type="dxa" w:w="3154"/>
            <w:tcBorders>
              <w:top w:val="single" w:color="1B3A5F" w:sz="4"/>
              <w:left w:val="single" w:color="1B3A5F" w:sz="4"/>
              <w:bottom w:val="single" w:color="1B3A5F" w:sz="4"/>
              <w:right w:val="single" w:color="1B3A5F" w:sz="4"/>
            </w:tcBorders>
            <w:shd w:fill="1B3A5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FEFEFE"/>
                <w:sz w:val="15"/>
                <w:szCs w:val="15"/>
              </w:rPr>
              <w:t xml:space="preserve">Claim that must be true</w:t>
            </w:r>
          </w:p>
        </w:tc>
        <w:tc>
          <w:tcPr>
            <w:tcW w:type="dxa" w:w="2313"/>
            <w:tcBorders>
              <w:top w:val="single" w:color="1B3A5F" w:sz="4"/>
              <w:left w:val="single" w:color="1B3A5F" w:sz="4"/>
              <w:bottom w:val="single" w:color="1B3A5F" w:sz="4"/>
              <w:right w:val="single" w:color="1B3A5F" w:sz="4"/>
            </w:tcBorders>
            <w:shd w:fill="1B3A5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FEFEFE"/>
                <w:sz w:val="15"/>
                <w:szCs w:val="15"/>
              </w:rPr>
              <w:t xml:space="preserve">Evidence, and who verifies it</w:t>
            </w:r>
          </w:p>
        </w:tc>
        <w:tc>
          <w:tcPr>
            <w:tcW w:type="dxa" w:w="1261"/>
            <w:tcBorders>
              <w:top w:val="single" w:color="1B3A5F" w:sz="4"/>
              <w:left w:val="single" w:color="1B3A5F" w:sz="4"/>
              <w:bottom w:val="single" w:color="1B3A5F" w:sz="4"/>
              <w:right w:val="single" w:color="1B3A5F" w:sz="4"/>
            </w:tcBorders>
            <w:shd w:fill="1B3A5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FEFEFE"/>
                <w:sz w:val="15"/>
                <w:szCs w:val="15"/>
              </w:rPr>
              <w:t xml:space="preserve">Verified</w:t>
            </w:r>
          </w:p>
        </w:tc>
        <w:tc>
          <w:tcPr>
            <w:tcW w:type="dxa" w:w="2207"/>
            <w:tcBorders>
              <w:top w:val="single" w:color="1B3A5F" w:sz="4"/>
              <w:left w:val="single" w:color="1B3A5F" w:sz="4"/>
              <w:bottom w:val="single" w:color="1B3A5F" w:sz="4"/>
              <w:right w:val="single" w:color="1B3A5F" w:sz="4"/>
            </w:tcBorders>
            <w:shd w:fill="1B3A5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FEFEFE"/>
                <w:sz w:val="15"/>
                <w:szCs w:val="15"/>
              </w:rPr>
              <w:t xml:space="preserve">Weight</w:t>
            </w:r>
          </w:p>
        </w:tc>
      </w:tr>
      <w:tr>
        <w:trPr>
          <w:cantSplit/>
        </w:trPr>
        <w:tc>
          <w:tcPr>
            <w:tcW w:type="dxa" w:w="1577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1B3A5F"/>
                <w:sz w:val="19"/>
                <w:szCs w:val="19"/>
              </w:rPr>
              <w:t xml:space="preserve">Pharmacy</w:t>
            </w:r>
          </w:p>
        </w:tc>
        <w:tc>
          <w:tcPr>
            <w:tcW w:type="dxa" w:w="3154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18"/>
                <w:szCs w:val="18"/>
              </w:rPr>
              <w:t xml:space="preserve">Every order in the top-20 formulary list transmits to the dispensing system and returns a confirmation within 60 seconds, including the three that require a weight-based dose.</w:t>
            </w:r>
          </w:p>
        </w:tc>
        <w:tc>
          <w:tcPr>
            <w:tcW w:type="dxa" w:w="2313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18"/>
                <w:szCs w:val="18"/>
              </w:rPr>
              <w:t xml:space="preserve">Pharmacy lead runs all 20 in the mirrored environment and keeps the log.</w:t>
            </w:r>
            <w:r>
              <w:rPr>
                <w:rFonts w:ascii="Georgia" w:cs="Georgia" w:eastAsia="Georgia" w:hAnsi="Georgia"/>
                <w:b w:val="false"/>
                <w:bCs w:val="false"/>
                <w:i/>
                <w:iCs/>
                <w:color w:val="6B5A4E"/>
                <w:sz w:val="18"/>
                <w:szCs w:val="18"/>
              </w:rPr>
              <w:t xml:space="preserve"> Named: not "pharmacy."</w:t>
            </w:r>
          </w:p>
        </w:tc>
        <w:tc>
          <w:tcPr>
            <w:tcW w:type="dxa" w:w="1261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2207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8A3324"/>
                <w:sz w:val="18"/>
                <w:szCs w:val="18"/>
              </w:rPr>
              <w:t xml:space="preserve">Blocker</w:t>
            </w: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18"/>
                <w:szCs w:val="18"/>
              </w:rPr>
              <w:t xml:space="preserve"> — a silent failure here reaches a patient</w:t>
            </w:r>
          </w:p>
        </w:tc>
      </w:tr>
      <w:tr>
        <w:trPr>
          <w:cantSplit/>
        </w:trPr>
        <w:tc>
          <w:tcPr>
            <w:tcW w:type="dxa" w:w="1577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1B3A5F"/>
                <w:sz w:val="19"/>
                <w:szCs w:val="19"/>
              </w:rPr>
              <w:t xml:space="preserve">Registration</w:t>
            </w:r>
          </w:p>
        </w:tc>
        <w:tc>
          <w:tcPr>
            <w:tcW w:type="dxa" w:w="3154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18"/>
                <w:szCs w:val="18"/>
              </w:rPr>
              <w:t xml:space="preserve">A walk-in with no referral can be registered and routed without a workaround, by a clerk who has not been shown how that morning.</w:t>
            </w:r>
          </w:p>
        </w:tc>
        <w:tc>
          <w:tcPr>
            <w:tcW w:type="dxa" w:w="2313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18"/>
                <w:szCs w:val="18"/>
              </w:rPr>
              <w:t xml:space="preserve">Observed on two clerks by the trainer, using the go-live build, not the training build.</w:t>
            </w:r>
            <w:r>
              <w:rPr>
                <w:rFonts w:ascii="Georgia" w:cs="Georgia" w:eastAsia="Georgia" w:hAnsi="Georgia"/>
                <w:b w:val="false"/>
                <w:bCs w:val="false"/>
                <w:i/>
                <w:iCs/>
                <w:color w:val="6B5A4E"/>
                <w:sz w:val="18"/>
                <w:szCs w:val="18"/>
              </w:rPr>
              <w:t xml:space="preserve"> </w:t>
            </w:r>
          </w:p>
        </w:tc>
        <w:tc>
          <w:tcPr>
            <w:tcW w:type="dxa" w:w="1261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2207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8A3324"/>
                <w:sz w:val="18"/>
                <w:szCs w:val="18"/>
              </w:rPr>
              <w:t xml:space="preserve">Blocker</w:t>
            </w: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18"/>
                <w:szCs w:val="18"/>
              </w:rPr>
              <w:t xml:space="preserve"> — it happens on day one, every site</w:t>
            </w:r>
          </w:p>
        </w:tc>
      </w:tr>
      <w:tr>
        <w:trPr>
          <w:cantSplit/>
        </w:trPr>
        <w:tc>
          <w:tcPr>
            <w:tcW w:type="dxa" w:w="1577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1B3A5F"/>
                <w:sz w:val="19"/>
                <w:szCs w:val="19"/>
              </w:rPr>
              <w:t xml:space="preserve">Billing</w:t>
            </w:r>
          </w:p>
        </w:tc>
        <w:tc>
          <w:tcPr>
            <w:tcW w:type="dxa" w:w="3154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18"/>
                <w:szCs w:val="18"/>
              </w:rPr>
              <w:t xml:space="preserve">A claim generated from a day-one encounter passes the clearinghouse edit check.</w:t>
            </w:r>
          </w:p>
        </w:tc>
        <w:tc>
          <w:tcPr>
            <w:tcW w:type="dxa" w:w="2313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18"/>
                <w:szCs w:val="18"/>
              </w:rPr>
              <w:t xml:space="preserve">Revenue cycle manager submits three test claims and reports the rejections.</w:t>
            </w:r>
            <w:r>
              <w:rPr>
                <w:rFonts w:ascii="Georgia" w:cs="Georgia" w:eastAsia="Georgia" w:hAnsi="Georgia"/>
                <w:b w:val="false"/>
                <w:bCs w:val="false"/>
                <w:i/>
                <w:iCs/>
                <w:color w:val="6B5A4E"/>
                <w:sz w:val="18"/>
                <w:szCs w:val="18"/>
              </w:rPr>
              <w:t xml:space="preserve"> </w:t>
            </w:r>
          </w:p>
        </w:tc>
        <w:tc>
          <w:tcPr>
            <w:tcW w:type="dxa" w:w="1261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2207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6B5A4E"/>
                <w:sz w:val="18"/>
                <w:szCs w:val="18"/>
              </w:rPr>
              <w:t xml:space="preserve">Should-fix</w:t>
            </w: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18"/>
                <w:szCs w:val="18"/>
              </w:rPr>
              <w:t xml:space="preserve"> — painful, but it surfaces in week two, not hour one</w:t>
            </w:r>
          </w:p>
        </w:tc>
      </w:tr>
    </w:tbl>
    <w:p>
      <w:pPr>
        <w:spacing w:after="12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3A3A3A"/>
          <w:sz w:val="20"/>
          <w:szCs w:val="20"/>
        </w:rPr>
        <w:t xml:space="preserve"/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"/>
        <w:gridCol w:w="10452"/>
      </w:tblGrid>
      <w:tr>
        <w:trPr>
          <w:cantSplit/>
        </w:trPr>
        <w:tc>
          <w:tcPr>
            <w:tcW w:type="dxa" w:w="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A4E" w:color="auto" w:val="clear"/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10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EFEA" w:color="auto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6B5A4E"/>
                <w:sz w:val="19"/>
                <w:szCs w:val="19"/>
              </w:rPr>
              <w:t xml:space="preserve">Notice what the claims have in common. </w:t>
            </w: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19"/>
                <w:szCs w:val="19"/>
              </w:rPr>
              <w:t xml:space="preserve">Each one names a condition and a person, and each one could come back false. "Pharmacy is ready" cannot come back false — there is no observation that would contradict it, which is why it always gets a yes. The claim in the first row can fail on a Tuesday afternoon with a log to prove it, which is the entire point.</w:t>
            </w:r>
          </w:p>
        </w:tc>
      </w:tr>
    </w:tbl>
    <w:p>
      <w:pPr>
        <w:spacing w:after="120" w:before="280"/>
      </w:pPr>
      <w:r>
        <w:rPr>
          <w:rFonts w:ascii="Poppins" w:cs="Poppins" w:eastAsia="Poppins" w:hAnsi="Poppins"/>
          <w:b/>
          <w:bCs/>
          <w:i w:val="false"/>
          <w:iCs w:val="false"/>
          <w:color w:val="6B5A4E"/>
          <w:sz w:val="15"/>
          <w:szCs w:val="15"/>
        </w:rPr>
        <w:t xml:space="preserve">FIX LIST — KEPT SEPARATE FROM THE DECISION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74"/>
        <w:gridCol w:w="1472"/>
        <w:gridCol w:w="1682"/>
        <w:gridCol w:w="1261"/>
        <w:gridCol w:w="2523"/>
      </w:tblGrid>
      <w:tr>
        <w:trPr>
          <w:tblHeader/>
        </w:trPr>
        <w:tc>
          <w:tcPr>
            <w:tcW w:type="dxa" w:w="3574"/>
            <w:tcBorders>
              <w:top w:val="single" w:color="1B3A5F" w:sz="4"/>
              <w:left w:val="single" w:color="1B3A5F" w:sz="4"/>
              <w:bottom w:val="single" w:color="1B3A5F" w:sz="4"/>
              <w:right w:val="single" w:color="1B3A5F" w:sz="4"/>
            </w:tcBorders>
            <w:shd w:fill="1B3A5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FEFEFE"/>
                <w:sz w:val="15"/>
                <w:szCs w:val="15"/>
              </w:rPr>
              <w:t xml:space="preserve">Issue</w:t>
            </w:r>
          </w:p>
        </w:tc>
        <w:tc>
          <w:tcPr>
            <w:tcW w:type="dxa" w:w="1472"/>
            <w:tcBorders>
              <w:top w:val="single" w:color="1B3A5F" w:sz="4"/>
              <w:left w:val="single" w:color="1B3A5F" w:sz="4"/>
              <w:bottom w:val="single" w:color="1B3A5F" w:sz="4"/>
              <w:right w:val="single" w:color="1B3A5F" w:sz="4"/>
            </w:tcBorders>
            <w:shd w:fill="1B3A5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FEFEFE"/>
                <w:sz w:val="15"/>
                <w:szCs w:val="15"/>
              </w:rPr>
              <w:t xml:space="preserve">Weight</w:t>
            </w:r>
          </w:p>
        </w:tc>
        <w:tc>
          <w:tcPr>
            <w:tcW w:type="dxa" w:w="1682"/>
            <w:tcBorders>
              <w:top w:val="single" w:color="1B3A5F" w:sz="4"/>
              <w:left w:val="single" w:color="1B3A5F" w:sz="4"/>
              <w:bottom w:val="single" w:color="1B3A5F" w:sz="4"/>
              <w:right w:val="single" w:color="1B3A5F" w:sz="4"/>
            </w:tcBorders>
            <w:shd w:fill="1B3A5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FEFEFE"/>
                <w:sz w:val="15"/>
                <w:szCs w:val="15"/>
              </w:rPr>
              <w:t xml:space="preserve">Owner</w:t>
            </w:r>
          </w:p>
        </w:tc>
        <w:tc>
          <w:tcPr>
            <w:tcW w:type="dxa" w:w="1261"/>
            <w:tcBorders>
              <w:top w:val="single" w:color="1B3A5F" w:sz="4"/>
              <w:left w:val="single" w:color="1B3A5F" w:sz="4"/>
              <w:bottom w:val="single" w:color="1B3A5F" w:sz="4"/>
              <w:right w:val="single" w:color="1B3A5F" w:sz="4"/>
            </w:tcBorders>
            <w:shd w:fill="1B3A5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FEFEFE"/>
                <w:sz w:val="15"/>
                <w:szCs w:val="15"/>
              </w:rPr>
              <w:t xml:space="preserve">Due</w:t>
            </w:r>
          </w:p>
        </w:tc>
        <w:tc>
          <w:tcPr>
            <w:tcW w:type="dxa" w:w="2523"/>
            <w:tcBorders>
              <w:top w:val="single" w:color="1B3A5F" w:sz="4"/>
              <w:left w:val="single" w:color="1B3A5F" w:sz="4"/>
              <w:bottom w:val="single" w:color="1B3A5F" w:sz="4"/>
              <w:right w:val="single" w:color="1B3A5F" w:sz="4"/>
            </w:tcBorders>
            <w:shd w:fill="1B3A5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FEFEFE"/>
                <w:sz w:val="15"/>
                <w:szCs w:val="15"/>
              </w:rPr>
              <w:t xml:space="preserve">Workaround if not fixed by go-live</w:t>
            </w:r>
          </w:p>
        </w:tc>
      </w:tr>
      <w:tr>
        <w:trPr>
          <w:cantSplit/>
        </w:trPr>
        <w:tc>
          <w:tcPr>
            <w:tcW w:type="dxa" w:w="3574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1472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1682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1261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2523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74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1472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1682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1261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2523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74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1472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1682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1261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2523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74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1472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1682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1261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2523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shd w:fill="FAF8F5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  <w:r>
        <w:rPr>
          <w:rFonts w:ascii="Poppins" w:cs="Poppins" w:eastAsia="Poppins" w:hAnsi="Poppins"/>
          <w:b/>
          <w:bCs/>
          <w:i w:val="false"/>
          <w:iCs w:val="false"/>
          <w:color w:val="6B5A4E"/>
          <w:sz w:val="15"/>
          <w:szCs w:val="15"/>
        </w:rPr>
        <w:t xml:space="preserve">THE DECISION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74"/>
        <w:gridCol w:w="4625"/>
        <w:gridCol w:w="2313"/>
      </w:tblGrid>
      <w:tr>
        <w:tc>
          <w:tcPr>
            <w:tcW w:type="dxa" w:w="3574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6B7178"/>
                <w:sz w:val="15"/>
                <w:szCs w:val="15"/>
              </w:rPr>
              <w:t xml:space="preserve">Decision</w:t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/>
                <w:iCs/>
                <w:color w:val="9A948C"/>
                <w:sz w:val="16"/>
                <w:szCs w:val="16"/>
              </w:rPr>
              <w:t xml:space="preserve">Go  ·  Go with conditions  ·  No-go</w:t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4625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6B7178"/>
                <w:sz w:val="15"/>
                <w:szCs w:val="15"/>
              </w:rPr>
              <w:t xml:space="preserve">If "go with conditions" — the conditions, and who owns each</w:t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2313"/>
            <w:tcBorders>
              <w:top w:val="single" w:color="C9C2B8" w:sz="4"/>
              <w:left w:val="single" w:color="C9C2B8" w:sz="4"/>
              <w:bottom w:val="single" w:color="C9C2B8" w:sz="4"/>
              <w:right w:val="single" w:color="C9C2B8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40"/>
            </w:pPr>
            <w:r>
              <w:rPr>
                <w:rFonts w:ascii="Poppins" w:cs="Poppins" w:eastAsia="Poppins" w:hAnsi="Poppins"/>
                <w:b/>
                <w:bCs/>
                <w:i w:val="false"/>
                <w:iCs w:val="false"/>
                <w:color w:val="6B7178"/>
                <w:sz w:val="15"/>
                <w:szCs w:val="15"/>
              </w:rPr>
              <w:t xml:space="preserve">Decided by / date</w:t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  <w:r>
        <w:rPr>
          <w:rFonts w:ascii="Poppins" w:cs="Poppins" w:eastAsia="Poppins" w:hAnsi="Poppins"/>
          <w:b/>
          <w:bCs/>
          <w:i w:val="false"/>
          <w:iCs w:val="false"/>
          <w:color w:val="6B5A4E"/>
          <w:sz w:val="15"/>
          <w:szCs w:val="15"/>
        </w:rPr>
        <w:t xml:space="preserve">HOW TO USE THIS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Georgia" w:cs="Georgia" w:eastAsia="Georgia" w:hAnsi="Georgia"/>
          <w:b/>
          <w:bCs/>
          <w:i w:val="false"/>
          <w:iCs w:val="false"/>
          <w:color w:val="1B3A5F"/>
          <w:sz w:val="20"/>
          <w:szCs w:val="20"/>
        </w:rPr>
        <w:t xml:space="preserve">Write the criteria before the meeting, not in it.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3A3A3A"/>
          <w:sz w:val="20"/>
          <w:szCs w:val="20"/>
        </w:rPr>
        <w:t xml:space="preserve"> Criteria invented live get negotiated live. Circulate them a week ahead and let people argue about the wording while it is still cheap.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Georgia" w:cs="Georgia" w:eastAsia="Georgia" w:hAnsi="Georgia"/>
          <w:b/>
          <w:bCs/>
          <w:i w:val="false"/>
          <w:iCs w:val="false"/>
          <w:color w:val="1B3A5F"/>
          <w:sz w:val="20"/>
          <w:szCs w:val="20"/>
        </w:rPr>
        <w:t xml:space="preserve">Every claim must be able to come back false.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3A3A3A"/>
          <w:sz w:val="20"/>
          <w:szCs w:val="20"/>
        </w:rPr>
        <w:t xml:space="preserve"> "Pharmacy is ready" cannot. "All 20 top-formulary orders return a confirmation within 60 seconds" can. If no observation would contradict it, it is not a criterion.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Georgia" w:cs="Georgia" w:eastAsia="Georgia" w:hAnsi="Georgia"/>
          <w:b/>
          <w:bCs/>
          <w:i w:val="false"/>
          <w:iCs w:val="false"/>
          <w:color w:val="1B3A5F"/>
          <w:sz w:val="20"/>
          <w:szCs w:val="20"/>
        </w:rPr>
        <w:t xml:space="preserve">Name a person for the evidence, not a department.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3A3A3A"/>
          <w:sz w:val="20"/>
          <w:szCs w:val="20"/>
        </w:rPr>
        <w:t xml:space="preserve"> "The team verified it" is how something goes unverified by everyone.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Georgia" w:cs="Georgia" w:eastAsia="Georgia" w:hAnsi="Georgia"/>
          <w:b/>
          <w:bCs/>
          <w:i w:val="false"/>
          <w:iCs w:val="false"/>
          <w:color w:val="1B3A5F"/>
          <w:sz w:val="20"/>
          <w:szCs w:val="20"/>
        </w:rPr>
        <w:t xml:space="preserve">Keep the fix list out of the decision.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3A3A3A"/>
          <w:sz w:val="20"/>
          <w:szCs w:val="20"/>
        </w:rPr>
        <w:t xml:space="preserve"> Deciding whether to go and deciding what to fix are two different conversations, and merging them is how a room talks itself into going.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Georgia" w:cs="Georgia" w:eastAsia="Georgia" w:hAnsi="Georgia"/>
          <w:b/>
          <w:bCs/>
          <w:i w:val="false"/>
          <w:iCs w:val="false"/>
          <w:color w:val="1B3A5F"/>
          <w:sz w:val="20"/>
          <w:szCs w:val="20"/>
        </w:rPr>
        <w:t xml:space="preserve">Set the last date a delay can be called — in advance.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3A3A3A"/>
          <w:sz w:val="20"/>
          <w:szCs w:val="20"/>
        </w:rPr>
        <w:t xml:space="preserve"> After that point you are going live regardless, so everyone should know when it passes.</w:t>
      </w:r>
    </w:p>
    <w:p>
      <w:pPr>
        <w:spacing w:after="12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3A3A3A"/>
          <w:sz w:val="20"/>
          <w:szCs w:val="20"/>
        </w:rPr>
        <w:t xml:space="preserve"/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"/>
        <w:gridCol w:w="10452"/>
      </w:tblGrid>
      <w:tr>
        <w:trPr>
          <w:cantSplit/>
        </w:trPr>
        <w:tc>
          <w:tcPr>
            <w:tcW w:type="dxa" w:w="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3A5F" w:color="auto" w:val="clear"/>
          </w:tcPr>
          <w:p>
            <w:pPr>
              <w:spacing w:after="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20"/>
                <w:szCs w:val="20"/>
              </w:rPr>
              <w:t xml:space="preserve"/>
            </w:r>
          </w:p>
        </w:tc>
        <w:tc>
          <w:tcPr>
            <w:tcW w:type="dxa" w:w="10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1F3" w:color="auto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0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1B3A5F"/>
                <w:sz w:val="19"/>
                <w:szCs w:val="19"/>
              </w:rPr>
              <w:t xml:space="preserve">A readiness review before your go/no-go meeting. </w:t>
            </w: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3A3A3A"/>
                <w:sz w:val="19"/>
                <w:szCs w:val="19"/>
              </w:rPr>
              <w:t xml:space="preserve">Send us your criteria as they stand and we will read them against the failure modes above — which claims cannot fail, which blockers are not really blockers, and which function nobody has written a row for. We will write back before your meeting. No charge, and no obligation after it.  info@health-chex.com</w:t>
            </w:r>
          </w:p>
        </w:tc>
      </w:tr>
    </w:tbl>
    <w:p>
      <w:pPr>
        <w:pBdr>
          <w:top w:val="single" w:color="DDD8D0" w:sz="4"/>
        </w:pBdr>
        <w:spacing w:after="0" w:before="320"/>
      </w:pPr>
      <w:r>
        <w:rPr>
          <w:rFonts w:ascii="Poppins" w:cs="Poppins" w:eastAsia="Poppins" w:hAnsi="Poppins"/>
          <w:b w:val="false"/>
          <w:bCs w:val="false"/>
          <w:i w:val="false"/>
          <w:iCs w:val="false"/>
          <w:color w:val="6B7178"/>
          <w:sz w:val="15"/>
          <w:szCs w:val="15"/>
        </w:rPr>
        <w:t xml:space="preserve">Health-Chex, LLC · Charlotte, NC · health-chex.com · Checkpoint, our monthly newsletter</w:t>
      </w:r>
    </w:p>
    <w:sectPr>
      <w:pgSz w:w="12240" w:h="15840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3A3A3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9087b781814211ad20bc05e68e93997a112eb35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2026-09-19T21:32:09.867Z</dcterms:created>
  <dcterms:modified xsi:type="dcterms:W3CDTF">2026-09-19T21:32:09.877Z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